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2D3C2D01" w14:textId="77777777" w:rsidR="000F0648" w:rsidRDefault="000F0648">
      <w:pPr>
        <w:spacing w:after="240" w:line="240" w:lineRule="auto"/>
        <w:rPr>
          <w:b/>
          <w:sz w:val="32"/>
          <w:szCs w:val="32"/>
        </w:rPr>
      </w:pPr>
    </w:p>
    <w:p w14:paraId="5DB1441A" w14:textId="77777777" w:rsidR="007B2F5C" w:rsidRDefault="001B0506" w:rsidP="000F0648">
      <w:pPr>
        <w:spacing w:after="240" w:line="240" w:lineRule="auto"/>
        <w:jc w:val="center"/>
        <w:rPr>
          <w:rFonts w:ascii="Times New Roman" w:eastAsia="Times New Roman" w:hAnsi="Times New Roman" w:cs="Times New Roman"/>
          <w:sz w:val="24"/>
          <w:szCs w:val="24"/>
        </w:rPr>
      </w:pPr>
      <w:r>
        <w:rPr>
          <w:b/>
          <w:sz w:val="32"/>
          <w:szCs w:val="32"/>
        </w:rPr>
        <w:t>Heritage Resolution on CodeNEXT</w:t>
      </w:r>
    </w:p>
    <w:p w14:paraId="748E7DB2" w14:textId="77777777" w:rsidR="007B2F5C" w:rsidRDefault="001B0506">
      <w:pPr>
        <w:spacing w:after="240" w:line="240" w:lineRule="auto"/>
        <w:rPr>
          <w:rFonts w:ascii="Times New Roman" w:eastAsia="Times New Roman" w:hAnsi="Times New Roman" w:cs="Times New Roman"/>
          <w:sz w:val="24"/>
          <w:szCs w:val="24"/>
        </w:rPr>
      </w:pPr>
      <w:r>
        <w:rPr>
          <w:smallCaps/>
          <w:sz w:val="24"/>
          <w:szCs w:val="24"/>
        </w:rPr>
        <w:t>WHEREAS</w:t>
      </w:r>
      <w:r>
        <w:rPr>
          <w:sz w:val="24"/>
          <w:szCs w:val="24"/>
        </w:rPr>
        <w:t xml:space="preserve"> the Heritage neighborhood, located in central Austin and bordered by 29</w:t>
      </w:r>
      <w:r>
        <w:rPr>
          <w:sz w:val="24"/>
          <w:szCs w:val="24"/>
          <w:vertAlign w:val="superscript"/>
        </w:rPr>
        <w:t xml:space="preserve">th </w:t>
      </w:r>
      <w:r>
        <w:rPr>
          <w:sz w:val="24"/>
          <w:szCs w:val="24"/>
        </w:rPr>
        <w:t>Street, 38</w:t>
      </w:r>
      <w:r>
        <w:rPr>
          <w:sz w:val="24"/>
          <w:szCs w:val="24"/>
          <w:vertAlign w:val="superscript"/>
        </w:rPr>
        <w:t xml:space="preserve">th </w:t>
      </w:r>
      <w:r>
        <w:rPr>
          <w:sz w:val="24"/>
          <w:szCs w:val="24"/>
        </w:rPr>
        <w:t xml:space="preserve">Street, Guadalupe Street, and North Lamar Boulevard, is a diverse, walkable, urban neighborhood, </w:t>
      </w:r>
    </w:p>
    <w:p w14:paraId="19791738" w14:textId="77777777" w:rsidR="007B2F5C" w:rsidRDefault="001B0506">
      <w:pPr>
        <w:spacing w:after="240" w:line="240" w:lineRule="auto"/>
        <w:rPr>
          <w:rFonts w:ascii="Times New Roman" w:eastAsia="Times New Roman" w:hAnsi="Times New Roman" w:cs="Times New Roman"/>
          <w:sz w:val="24"/>
          <w:szCs w:val="24"/>
        </w:rPr>
      </w:pPr>
      <w:r>
        <w:rPr>
          <w:smallCaps/>
          <w:sz w:val="24"/>
          <w:szCs w:val="24"/>
        </w:rPr>
        <w:t>WHEREAS</w:t>
      </w:r>
      <w:r>
        <w:rPr>
          <w:sz w:val="24"/>
          <w:szCs w:val="24"/>
        </w:rPr>
        <w:t xml:space="preserve"> in 2004 the Austin City Council approved a Neighborhood Plan for the Central Austin Combined Neighborhood planning area, including the West University planning area that includes both single family neighborhoods such as Heritage as well as the University Neighborhood Overlay (UNO), and the Imagine Austin Comprehensive Plan specifies that the Neighborhood Plans be respected, </w:t>
      </w:r>
    </w:p>
    <w:p w14:paraId="557C7511" w14:textId="77777777" w:rsidR="007B2F5C" w:rsidRDefault="001B0506">
      <w:pPr>
        <w:spacing w:after="240" w:line="240" w:lineRule="auto"/>
        <w:rPr>
          <w:rFonts w:ascii="Times New Roman" w:eastAsia="Times New Roman" w:hAnsi="Times New Roman" w:cs="Times New Roman"/>
          <w:sz w:val="24"/>
          <w:szCs w:val="24"/>
        </w:rPr>
      </w:pPr>
      <w:r>
        <w:rPr>
          <w:smallCaps/>
          <w:sz w:val="24"/>
          <w:szCs w:val="24"/>
        </w:rPr>
        <w:t>WHEREAS</w:t>
      </w:r>
      <w:r>
        <w:rPr>
          <w:sz w:val="24"/>
          <w:szCs w:val="24"/>
        </w:rPr>
        <w:t xml:space="preserve"> the neighborhood plan represented a careful compromise involving homeowners, renters, business owners, and students. That compromise established an overlay (UNO) for the West Campus area that allows dense multifamily development, mixed use developments along the corridors, and conditional overlays to protect the integrity, historic character, and safety of the single family neighborhoods, and</w:t>
      </w:r>
    </w:p>
    <w:p w14:paraId="22A3F015" w14:textId="77777777" w:rsidR="007B2F5C" w:rsidRDefault="001B0506">
      <w:pPr>
        <w:spacing w:after="240" w:line="240" w:lineRule="auto"/>
        <w:rPr>
          <w:rFonts w:ascii="Times New Roman" w:eastAsia="Times New Roman" w:hAnsi="Times New Roman" w:cs="Times New Roman"/>
          <w:sz w:val="24"/>
          <w:szCs w:val="24"/>
        </w:rPr>
      </w:pPr>
      <w:r>
        <w:rPr>
          <w:smallCaps/>
          <w:sz w:val="24"/>
          <w:szCs w:val="24"/>
        </w:rPr>
        <w:t>WHEREAS</w:t>
      </w:r>
      <w:r>
        <w:rPr>
          <w:sz w:val="24"/>
          <w:szCs w:val="24"/>
        </w:rPr>
        <w:t xml:space="preserve"> in 2014 the City Council passed and in 2016 made permanent laws that reduced the allowed occupancy of unrelated adults in newly constructed single family homes with the express purpose of discouraging demolitions in Heritage and other neighborhoods that had been affected by demolition for the purpose of constructing high occupancy houses, and</w:t>
      </w:r>
    </w:p>
    <w:p w14:paraId="063E267B" w14:textId="11F4414A" w:rsidR="007B2F5C" w:rsidRDefault="001B0506">
      <w:pPr>
        <w:spacing w:after="240" w:line="240" w:lineRule="auto"/>
        <w:rPr>
          <w:rFonts w:ascii="Times New Roman" w:eastAsia="Times New Roman" w:hAnsi="Times New Roman" w:cs="Times New Roman"/>
          <w:sz w:val="24"/>
          <w:szCs w:val="24"/>
        </w:rPr>
      </w:pPr>
      <w:r>
        <w:rPr>
          <w:smallCaps/>
          <w:sz w:val="24"/>
          <w:szCs w:val="24"/>
        </w:rPr>
        <w:t>WHEREAS</w:t>
      </w:r>
      <w:r>
        <w:rPr>
          <w:sz w:val="24"/>
          <w:szCs w:val="24"/>
        </w:rPr>
        <w:t xml:space="preserve"> the proposed </w:t>
      </w:r>
      <w:hyperlink r:id="rId7">
        <w:r>
          <w:rPr>
            <w:sz w:val="24"/>
            <w:szCs w:val="24"/>
            <w:highlight w:val="white"/>
          </w:rPr>
          <w:t>transect</w:t>
        </w:r>
      </w:hyperlink>
      <w:r>
        <w:rPr>
          <w:sz w:val="24"/>
          <w:szCs w:val="24"/>
          <w:highlight w:val="white"/>
        </w:rPr>
        <w:t xml:space="preserve"> </w:t>
      </w:r>
      <w:r>
        <w:rPr>
          <w:sz w:val="24"/>
          <w:szCs w:val="24"/>
        </w:rPr>
        <w:t xml:space="preserve"> zoning in the Heritage neighborhood will dramatically increase the allowed density in the middle of the neighborhood and thus encourage demolition </w:t>
      </w:r>
      <w:r w:rsidR="00335DC6">
        <w:rPr>
          <w:sz w:val="24"/>
          <w:szCs w:val="24"/>
        </w:rPr>
        <w:t xml:space="preserve">of existing affordable housing </w:t>
      </w:r>
      <w:r>
        <w:rPr>
          <w:sz w:val="24"/>
          <w:szCs w:val="24"/>
        </w:rPr>
        <w:t xml:space="preserve">and redevelopment of </w:t>
      </w:r>
      <w:r w:rsidR="00335DC6">
        <w:rPr>
          <w:sz w:val="24"/>
          <w:szCs w:val="24"/>
        </w:rPr>
        <w:t xml:space="preserve">more expensive </w:t>
      </w:r>
      <w:r>
        <w:rPr>
          <w:sz w:val="24"/>
          <w:szCs w:val="24"/>
        </w:rPr>
        <w:t>properties</w:t>
      </w:r>
      <w:r w:rsidR="00FF61E9">
        <w:rPr>
          <w:sz w:val="24"/>
          <w:szCs w:val="24"/>
        </w:rPr>
        <w:t>,</w:t>
      </w:r>
      <w:r>
        <w:rPr>
          <w:sz w:val="24"/>
          <w:szCs w:val="24"/>
        </w:rPr>
        <w:t xml:space="preserve"> and</w:t>
      </w:r>
    </w:p>
    <w:p w14:paraId="1956EFCA" w14:textId="5463D1FD" w:rsidR="007B2F5C" w:rsidRDefault="001B0506">
      <w:pPr>
        <w:spacing w:after="240" w:line="240" w:lineRule="auto"/>
        <w:rPr>
          <w:rFonts w:ascii="Times New Roman" w:eastAsia="Times New Roman" w:hAnsi="Times New Roman" w:cs="Times New Roman"/>
          <w:sz w:val="24"/>
          <w:szCs w:val="24"/>
        </w:rPr>
      </w:pPr>
      <w:bookmarkStart w:id="0" w:name="_gjdgxs" w:colFirst="0" w:colLast="0"/>
      <w:bookmarkEnd w:id="0"/>
      <w:r>
        <w:rPr>
          <w:smallCaps/>
          <w:sz w:val="24"/>
          <w:szCs w:val="24"/>
        </w:rPr>
        <w:t>WHEREAS</w:t>
      </w:r>
      <w:r>
        <w:rPr>
          <w:sz w:val="24"/>
          <w:szCs w:val="24"/>
        </w:rPr>
        <w:t xml:space="preserve"> the proposed </w:t>
      </w:r>
      <w:r>
        <w:rPr>
          <w:sz w:val="24"/>
          <w:szCs w:val="24"/>
          <w:highlight w:val="white"/>
        </w:rPr>
        <w:t> </w:t>
      </w:r>
      <w:hyperlink r:id="rId8">
        <w:r>
          <w:rPr>
            <w:sz w:val="24"/>
            <w:szCs w:val="24"/>
            <w:highlight w:val="white"/>
          </w:rPr>
          <w:t>T4MS</w:t>
        </w:r>
      </w:hyperlink>
      <w:r>
        <w:rPr>
          <w:sz w:val="24"/>
          <w:szCs w:val="24"/>
          <w:highlight w:val="white"/>
        </w:rPr>
        <w:t xml:space="preserve"> </w:t>
      </w:r>
      <w:r>
        <w:rPr>
          <w:sz w:val="24"/>
          <w:szCs w:val="24"/>
        </w:rPr>
        <w:t> </w:t>
      </w:r>
      <w:r w:rsidR="00335DC6">
        <w:rPr>
          <w:sz w:val="24"/>
          <w:szCs w:val="24"/>
        </w:rPr>
        <w:t xml:space="preserve">zoning along </w:t>
      </w:r>
      <w:r>
        <w:rPr>
          <w:sz w:val="24"/>
          <w:szCs w:val="24"/>
        </w:rPr>
        <w:t xml:space="preserve">Guadalupe and Lamar </w:t>
      </w:r>
      <w:r w:rsidR="00335DC6">
        <w:rPr>
          <w:sz w:val="24"/>
          <w:szCs w:val="24"/>
        </w:rPr>
        <w:t>does not promote affordable housing,</w:t>
      </w:r>
    </w:p>
    <w:p w14:paraId="3739C737" w14:textId="77777777" w:rsidR="007B2F5C" w:rsidRDefault="001B0506">
      <w:pPr>
        <w:rPr>
          <w:sz w:val="24"/>
          <w:szCs w:val="24"/>
        </w:rPr>
      </w:pPr>
      <w:r>
        <w:rPr>
          <w:smallCaps/>
          <w:sz w:val="24"/>
          <w:szCs w:val="24"/>
        </w:rPr>
        <w:t>BE IT RESOLVED</w:t>
      </w:r>
      <w:r>
        <w:rPr>
          <w:sz w:val="24"/>
          <w:szCs w:val="24"/>
        </w:rPr>
        <w:t xml:space="preserve"> that the members of the Heritage Neighborhood Association respectfully request that for our neighborhood, CodeNEXT retain the existing zoning and conditional overlays consistent with the Central Austin Combined Neighborhood Plan and current occupancy limits on unrelated adults in single f</w:t>
      </w:r>
      <w:bookmarkStart w:id="1" w:name="_GoBack"/>
      <w:bookmarkEnd w:id="1"/>
      <w:r>
        <w:rPr>
          <w:sz w:val="24"/>
          <w:szCs w:val="24"/>
        </w:rPr>
        <w:t>amily homes. Further, if transect zones are used within the Heritage Neighborhood, they be limited to 38</w:t>
      </w:r>
      <w:r>
        <w:rPr>
          <w:sz w:val="24"/>
          <w:szCs w:val="24"/>
          <w:vertAlign w:val="superscript"/>
        </w:rPr>
        <w:t xml:space="preserve">th </w:t>
      </w:r>
      <w:r>
        <w:rPr>
          <w:sz w:val="24"/>
          <w:szCs w:val="24"/>
        </w:rPr>
        <w:t>Street, Guadalupe Street, and North Lamar Boulevard to allow residential density on those corridors.</w:t>
      </w:r>
    </w:p>
    <w:p w14:paraId="64F22C98" w14:textId="36A6263E" w:rsidR="00335DC6" w:rsidRDefault="00335DC6">
      <w:pPr>
        <w:rPr>
          <w:b/>
          <w:sz w:val="20"/>
          <w:szCs w:val="20"/>
        </w:rPr>
      </w:pPr>
      <w:r w:rsidRPr="00335DC6">
        <w:rPr>
          <w:b/>
          <w:sz w:val="20"/>
          <w:szCs w:val="20"/>
        </w:rPr>
        <w:t>Approved June 5, 2017, by unanimous vote by the Heritage Neighborhood Association</w:t>
      </w:r>
      <w:r>
        <w:rPr>
          <w:b/>
          <w:sz w:val="20"/>
          <w:szCs w:val="20"/>
        </w:rPr>
        <w:t xml:space="preserve">. </w:t>
      </w:r>
      <w:r w:rsidRPr="00335DC6">
        <w:rPr>
          <w:b/>
          <w:sz w:val="20"/>
          <w:szCs w:val="20"/>
        </w:rPr>
        <w:t>The Heritage Neighborhood Association Community Meeting was held at 7pm, June 5</w:t>
      </w:r>
      <w:r w:rsidRPr="00335DC6">
        <w:rPr>
          <w:b/>
          <w:sz w:val="20"/>
          <w:szCs w:val="20"/>
          <w:vertAlign w:val="superscript"/>
        </w:rPr>
        <w:t>th</w:t>
      </w:r>
      <w:r w:rsidRPr="00335DC6">
        <w:rPr>
          <w:b/>
          <w:sz w:val="20"/>
          <w:szCs w:val="20"/>
        </w:rPr>
        <w:t>, 2017 in the Pioneer Bank Community Room.</w:t>
      </w:r>
    </w:p>
    <w:p w14:paraId="0DCD6364" w14:textId="1F15D73E" w:rsidR="007B2F5C" w:rsidRPr="00335DC6" w:rsidRDefault="00335DC6" w:rsidP="00335DC6">
      <w:pPr>
        <w:ind w:firstLine="720"/>
        <w:rPr>
          <w:b/>
          <w:sz w:val="20"/>
          <w:szCs w:val="20"/>
        </w:rPr>
      </w:pPr>
      <w:r>
        <w:rPr>
          <w:b/>
          <w:sz w:val="20"/>
          <w:szCs w:val="20"/>
        </w:rPr>
        <w:t>Gretchen Flatau, President</w:t>
      </w:r>
    </w:p>
    <w:sectPr w:rsidR="007B2F5C" w:rsidRPr="00335DC6">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D874F2" w14:textId="77777777" w:rsidR="004404DC" w:rsidRDefault="004404DC">
      <w:pPr>
        <w:spacing w:after="0" w:line="240" w:lineRule="auto"/>
      </w:pPr>
      <w:r>
        <w:separator/>
      </w:r>
    </w:p>
  </w:endnote>
  <w:endnote w:type="continuationSeparator" w:id="0">
    <w:p w14:paraId="43746505" w14:textId="77777777" w:rsidR="004404DC" w:rsidRDefault="004404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8802DE" w14:textId="77777777" w:rsidR="00B51127" w:rsidRDefault="00B511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6D1289" w14:textId="77777777" w:rsidR="00B51127" w:rsidRDefault="00B5112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C4FE74" w14:textId="77777777" w:rsidR="00B51127" w:rsidRDefault="00B511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DD3BE0" w14:textId="77777777" w:rsidR="004404DC" w:rsidRDefault="004404DC">
      <w:pPr>
        <w:spacing w:after="0" w:line="240" w:lineRule="auto"/>
      </w:pPr>
      <w:r>
        <w:separator/>
      </w:r>
    </w:p>
  </w:footnote>
  <w:footnote w:type="continuationSeparator" w:id="0">
    <w:p w14:paraId="13ACBFFE" w14:textId="77777777" w:rsidR="004404DC" w:rsidRDefault="004404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EC8758" w14:textId="77777777" w:rsidR="00B51127" w:rsidRDefault="00B511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A86BBE" w14:textId="234D9EBB" w:rsidR="007B2F5C" w:rsidRDefault="001B0506">
    <w:pPr>
      <w:tabs>
        <w:tab w:val="center" w:pos="4680"/>
        <w:tab w:val="right" w:pos="9360"/>
      </w:tabs>
      <w:spacing w:before="720" w:after="0" w:line="240" w:lineRule="auto"/>
      <w:jc w:val="center"/>
    </w:pPr>
    <w:r>
      <w:rPr>
        <w:noProof/>
      </w:rPr>
      <w:drawing>
        <wp:inline distT="0" distB="0" distL="0" distR="0" wp14:anchorId="7C869A28" wp14:editId="52D4E4AB">
          <wp:extent cx="2860333" cy="455204"/>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860333" cy="455204"/>
                  </a:xfrm>
                  <a:prstGeom prst="rect">
                    <a:avLst/>
                  </a:prstGeom>
                  <a:ln/>
                </pic:spPr>
              </pic:pic>
            </a:graphicData>
          </a:graphic>
        </wp:inline>
      </w:drawing>
    </w:r>
  </w:p>
  <w:p w14:paraId="0F3A1B9D" w14:textId="77777777" w:rsidR="007B2F5C" w:rsidRDefault="007B2F5C">
    <w:pPr>
      <w:tabs>
        <w:tab w:val="center" w:pos="4680"/>
        <w:tab w:val="right" w:pos="9360"/>
      </w:tabs>
      <w:spacing w:after="0" w:line="240" w:lineRule="aut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C388F5" w14:textId="77777777" w:rsidR="00B51127" w:rsidRDefault="00B5112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2F5C"/>
    <w:rsid w:val="000F0648"/>
    <w:rsid w:val="001B0506"/>
    <w:rsid w:val="00335DC6"/>
    <w:rsid w:val="004404DC"/>
    <w:rsid w:val="007B2F5C"/>
    <w:rsid w:val="00B51127"/>
    <w:rsid w:val="00FF61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183D5"/>
  <w15:docId w15:val="{6820F0BA-F700-4DD5-BEEB-3CAEC6675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en-US" w:eastAsia="en-US" w:bidi="ar-SA"/>
      </w:rPr>
    </w:rPrDefault>
    <w:pPrDefault>
      <w:pPr>
        <w:widowControl w:val="0"/>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B511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1127"/>
    <w:rPr>
      <w:rFonts w:ascii="Segoe UI" w:hAnsi="Segoe UI" w:cs="Segoe UI"/>
      <w:sz w:val="18"/>
      <w:szCs w:val="18"/>
    </w:rPr>
  </w:style>
  <w:style w:type="paragraph" w:styleId="Header">
    <w:name w:val="header"/>
    <w:basedOn w:val="Normal"/>
    <w:link w:val="HeaderChar"/>
    <w:uiPriority w:val="99"/>
    <w:unhideWhenUsed/>
    <w:rsid w:val="00B511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1127"/>
  </w:style>
  <w:style w:type="paragraph" w:styleId="Footer">
    <w:name w:val="footer"/>
    <w:basedOn w:val="Normal"/>
    <w:link w:val="FooterChar"/>
    <w:uiPriority w:val="99"/>
    <w:unhideWhenUsed/>
    <w:rsid w:val="00B511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11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t4n.is/"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t4n.is/"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0F78AE-2419-47FE-9CA4-FE1FFDB8A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379</Words>
  <Characters>2163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Gretchen Flatau</dc:creator>
  <cp:lastModifiedBy>Gretchen Flatau</cp:lastModifiedBy>
  <cp:revision>2</cp:revision>
  <dcterms:created xsi:type="dcterms:W3CDTF">2017-06-06T16:01:00Z</dcterms:created>
  <dcterms:modified xsi:type="dcterms:W3CDTF">2017-06-06T16:01:00Z</dcterms:modified>
</cp:coreProperties>
</file>